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FB" w:rsidRPr="007D0FFB" w:rsidRDefault="007D0FFB" w:rsidP="007D0FFB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 w:cs="Times New Roman"/>
          <w:b/>
          <w:color w:val="000000"/>
          <w:sz w:val="36"/>
          <w:szCs w:val="36"/>
          <w:u w:val="single"/>
        </w:rPr>
        <w:t>Free Reading Requirements</w:t>
      </w:r>
    </w:p>
    <w:p w:rsidR="007D0FFB" w:rsidRDefault="007D0FFB" w:rsidP="00234C35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FE19E0" w:rsidRPr="00FE19E0" w:rsidRDefault="00FE19E0" w:rsidP="00234C35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Students will be required to free read 3 books per quarter</w:t>
      </w:r>
      <w:r w:rsidR="00234C3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(free reading refers to reading done outside of the classroom and does not include any novel or short story assigned in class)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.  Each student MUST complete a book-talk or message board post for each book that they read (they will do either a combination of two book-talks and one message board post or one book talk and two message board posts).</w:t>
      </w:r>
      <w:r w:rsidR="00B67FC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Students will also be expected to respond to other students’ posts on the message board </w:t>
      </w:r>
      <w:r w:rsidR="00236D7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at least </w:t>
      </w:r>
      <w:r w:rsidR="00B67FCD">
        <w:rPr>
          <w:rFonts w:ascii="Comic Sans MS" w:eastAsia="Times New Roman" w:hAnsi="Comic Sans MS" w:cs="Times New Roman"/>
          <w:color w:val="000000"/>
          <w:sz w:val="28"/>
          <w:szCs w:val="28"/>
        </w:rPr>
        <w:t>twice per quarter.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Whether doing the book talk or posting to the message board, they must </w:t>
      </w:r>
      <w:r w:rsidR="007D0FFB">
        <w:rPr>
          <w:rFonts w:ascii="Comic Sans MS" w:eastAsia="Times New Roman" w:hAnsi="Comic Sans MS" w:cs="Times New Roman"/>
          <w:color w:val="000000"/>
          <w:sz w:val="28"/>
          <w:szCs w:val="28"/>
        </w:rPr>
        <w:t>include the following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:</w:t>
      </w:r>
    </w:p>
    <w:p w:rsidR="00D32BC2" w:rsidRPr="00D32BC2" w:rsidRDefault="00D32BC2" w:rsidP="00D32BC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tbl>
      <w:tblPr>
        <w:tblW w:w="5055" w:type="pct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110"/>
        <w:gridCol w:w="9353"/>
      </w:tblGrid>
      <w:tr w:rsidR="00D32BC2" w:rsidRPr="00D32BC2" w:rsidTr="00D32BC2">
        <w:trPr>
          <w:tblCellSpacing w:w="0" w:type="dxa"/>
        </w:trPr>
        <w:tc>
          <w:tcPr>
            <w:tcW w:w="110" w:type="dxa"/>
            <w:hideMark/>
          </w:tcPr>
          <w:p w:rsidR="00D32BC2" w:rsidRPr="00D32BC2" w:rsidRDefault="00D32BC2" w:rsidP="00D3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9353" w:type="dxa"/>
            <w:hideMark/>
          </w:tcPr>
          <w:p w:rsidR="00D32BC2" w:rsidRPr="00D32BC2" w:rsidRDefault="00D32BC2" w:rsidP="00D32B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:rsidR="00D32BC2" w:rsidRPr="00D32BC2" w:rsidRDefault="00D32BC2" w:rsidP="007D0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32BC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 w:rsidR="007D0FF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An</w:t>
            </w:r>
            <w:r w:rsidR="00236D7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interesting hook (</w:t>
            </w:r>
            <w:r w:rsidRPr="00D32BC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 hook grabs the attention of the listener)</w:t>
            </w:r>
            <w:r w:rsidR="00A36F7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that reveals the title and author of the book</w:t>
            </w:r>
            <w:r w:rsidRPr="00D32BC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2BC2" w:rsidRPr="00D32BC2" w:rsidTr="00D32BC2">
        <w:trPr>
          <w:tblCellSpacing w:w="0" w:type="dxa"/>
        </w:trPr>
        <w:tc>
          <w:tcPr>
            <w:tcW w:w="110" w:type="dxa"/>
            <w:hideMark/>
          </w:tcPr>
          <w:p w:rsidR="00D32BC2" w:rsidRPr="00D32BC2" w:rsidRDefault="00D32BC2" w:rsidP="00D3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9353" w:type="dxa"/>
            <w:hideMark/>
          </w:tcPr>
          <w:p w:rsidR="00D32BC2" w:rsidRPr="00D32BC2" w:rsidRDefault="00D32BC2" w:rsidP="007D0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32BC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 w:rsidR="007D0FF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 thorough and vivid description of</w:t>
            </w:r>
            <w:r w:rsidRPr="00D32BC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the setting and main characters.</w:t>
            </w:r>
          </w:p>
        </w:tc>
      </w:tr>
      <w:tr w:rsidR="00D32BC2" w:rsidRPr="00D32BC2" w:rsidTr="00D32BC2">
        <w:trPr>
          <w:tblCellSpacing w:w="0" w:type="dxa"/>
        </w:trPr>
        <w:tc>
          <w:tcPr>
            <w:tcW w:w="110" w:type="dxa"/>
            <w:hideMark/>
          </w:tcPr>
          <w:p w:rsidR="00D32BC2" w:rsidRPr="00D32BC2" w:rsidRDefault="00D32BC2" w:rsidP="00D3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9353" w:type="dxa"/>
            <w:hideMark/>
          </w:tcPr>
          <w:p w:rsidR="00D32BC2" w:rsidRPr="00D32BC2" w:rsidRDefault="00D32BC2" w:rsidP="007D0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32BC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 w:rsidR="007D0FF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</w:t>
            </w:r>
            <w:r w:rsidRPr="00D32BC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he main themes of the story </w:t>
            </w:r>
          </w:p>
        </w:tc>
      </w:tr>
      <w:tr w:rsidR="00D32BC2" w:rsidRPr="00D32BC2" w:rsidTr="00D32BC2">
        <w:trPr>
          <w:tblCellSpacing w:w="0" w:type="dxa"/>
        </w:trPr>
        <w:tc>
          <w:tcPr>
            <w:tcW w:w="110" w:type="dxa"/>
            <w:hideMark/>
          </w:tcPr>
          <w:p w:rsidR="00D32BC2" w:rsidRPr="00D32BC2" w:rsidRDefault="00D32BC2" w:rsidP="00D3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9353" w:type="dxa"/>
            <w:hideMark/>
          </w:tcPr>
          <w:p w:rsidR="00D32BC2" w:rsidRPr="00D32BC2" w:rsidRDefault="007D0FFB" w:rsidP="00D32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A summary of</w:t>
            </w:r>
            <w:r w:rsidR="00D32BC2" w:rsidRPr="00D32BC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an exciting part of the story without revealing the ending.</w:t>
            </w:r>
          </w:p>
        </w:tc>
      </w:tr>
      <w:tr w:rsidR="00D32BC2" w:rsidRPr="00D32BC2" w:rsidTr="00D32BC2">
        <w:trPr>
          <w:tblCellSpacing w:w="0" w:type="dxa"/>
        </w:trPr>
        <w:tc>
          <w:tcPr>
            <w:tcW w:w="110" w:type="dxa"/>
            <w:hideMark/>
          </w:tcPr>
          <w:p w:rsidR="00D32BC2" w:rsidRPr="00D32BC2" w:rsidRDefault="00D32BC2" w:rsidP="00D3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9353" w:type="dxa"/>
            <w:hideMark/>
          </w:tcPr>
          <w:p w:rsidR="00D32BC2" w:rsidRPr="00D32BC2" w:rsidRDefault="00D32BC2" w:rsidP="00D3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D32BC2" w:rsidRPr="00D32BC2" w:rsidTr="00D32BC2">
        <w:trPr>
          <w:tblCellSpacing w:w="0" w:type="dxa"/>
        </w:trPr>
        <w:tc>
          <w:tcPr>
            <w:tcW w:w="110" w:type="dxa"/>
            <w:hideMark/>
          </w:tcPr>
          <w:p w:rsidR="00D32BC2" w:rsidRPr="00D32BC2" w:rsidRDefault="00D32BC2" w:rsidP="00D3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9353" w:type="dxa"/>
            <w:hideMark/>
          </w:tcPr>
          <w:p w:rsidR="007D0FFB" w:rsidRPr="007D0FFB" w:rsidRDefault="007D0FFB" w:rsidP="007D0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Leave</w:t>
            </w:r>
            <w:r w:rsidRPr="00D32BC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your listeners with a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reason for checking out the book (include a restatement of the title and author if doing a book-talk)</w:t>
            </w:r>
          </w:p>
        </w:tc>
      </w:tr>
      <w:tr w:rsidR="00D32BC2" w:rsidRPr="00D32BC2" w:rsidTr="00D32BC2">
        <w:trPr>
          <w:tblCellSpacing w:w="0" w:type="dxa"/>
        </w:trPr>
        <w:tc>
          <w:tcPr>
            <w:tcW w:w="110" w:type="dxa"/>
            <w:hideMark/>
          </w:tcPr>
          <w:p w:rsidR="00D32BC2" w:rsidRPr="00D32BC2" w:rsidRDefault="00D32BC2" w:rsidP="00D3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9353" w:type="dxa"/>
            <w:hideMark/>
          </w:tcPr>
          <w:p w:rsidR="00D32BC2" w:rsidRPr="00D32BC2" w:rsidRDefault="00D32BC2" w:rsidP="007D0FFB">
            <w:pPr>
              <w:pStyle w:val="ListParagraph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</w:rPr>
            </w:pPr>
          </w:p>
        </w:tc>
      </w:tr>
    </w:tbl>
    <w:p w:rsidR="00D32BC2" w:rsidRDefault="00D32BC2" w:rsidP="00FE19E0">
      <w:pPr>
        <w:spacing w:after="0" w:line="240" w:lineRule="auto"/>
        <w:jc w:val="center"/>
      </w:pPr>
    </w:p>
    <w:sectPr w:rsidR="00D32BC2" w:rsidSect="00AA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899"/>
    <w:multiLevelType w:val="hybridMultilevel"/>
    <w:tmpl w:val="9DB2628C"/>
    <w:lvl w:ilvl="0" w:tplc="8F38E74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7A1"/>
    <w:multiLevelType w:val="hybridMultilevel"/>
    <w:tmpl w:val="85604104"/>
    <w:lvl w:ilvl="0" w:tplc="3FAAE87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0AA1"/>
    <w:multiLevelType w:val="hybridMultilevel"/>
    <w:tmpl w:val="85604104"/>
    <w:lvl w:ilvl="0" w:tplc="3FAAE87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BC2"/>
    <w:rsid w:val="00234C35"/>
    <w:rsid w:val="00236D75"/>
    <w:rsid w:val="00292E1A"/>
    <w:rsid w:val="00377065"/>
    <w:rsid w:val="007D0FFB"/>
    <w:rsid w:val="00A36F71"/>
    <w:rsid w:val="00AA18DA"/>
    <w:rsid w:val="00AB0A8F"/>
    <w:rsid w:val="00B67FCD"/>
    <w:rsid w:val="00C779B5"/>
    <w:rsid w:val="00D32BC2"/>
    <w:rsid w:val="00EA16E8"/>
    <w:rsid w:val="00FE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2012-08-21T22:20:00Z</cp:lastPrinted>
  <dcterms:created xsi:type="dcterms:W3CDTF">2011-04-05T16:26:00Z</dcterms:created>
  <dcterms:modified xsi:type="dcterms:W3CDTF">2012-08-21T22:20:00Z</dcterms:modified>
</cp:coreProperties>
</file>